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Pergola und Terrassenüberdachung aus Holz: Planungsablauf von der Krafteinleitung bis zum Anschluss</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Dachsanierung in München: Wann reicht eine Teilsanierung und wann wird ein Vollabtrag nötig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holzbau.de/index.html" TargetMode="External"/><Relationship Id="rId10" Type="http://schemas.openxmlformats.org/officeDocument/2006/relationships/hyperlink" Target="https://spaces.039holzbau.de/hausbau-1/dachsanierung-in-m-nchen-wann-reicht-eine-teilsanierung-und-wann-wird--32eb48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